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13929" w14:textId="77777777" w:rsidR="00AA5822" w:rsidRPr="00992DAF" w:rsidRDefault="00AA5822" w:rsidP="00AA1538">
      <w:pPr>
        <w:spacing w:after="120" w:line="276" w:lineRule="auto"/>
        <w:rPr>
          <w:rFonts w:ascii="Times New Roman" w:eastAsia="Calibri" w:hAnsi="Times New Roman" w:cs="Times New Roman"/>
          <w:b/>
          <w:i/>
          <w:sz w:val="28"/>
          <w:szCs w:val="28"/>
          <w:u w:val="single"/>
        </w:rPr>
      </w:pPr>
    </w:p>
    <w:p w14:paraId="71AAD839" w14:textId="2407645D" w:rsidR="00AA5822" w:rsidRPr="00992DAF" w:rsidRDefault="00AA5822" w:rsidP="00AA1538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T</w:t>
      </w:r>
      <w:r w:rsidR="00BB1C9F">
        <w:rPr>
          <w:rFonts w:ascii="Times New Roman" w:eastAsia="Calibri" w:hAnsi="Times New Roman" w:cs="Times New Roman"/>
          <w:b/>
          <w:bCs/>
          <w:sz w:val="24"/>
          <w:szCs w:val="24"/>
        </w:rPr>
        <w:t>O</w:t>
      </w: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="00AA1538">
        <w:rPr>
          <w:rFonts w:ascii="Times New Roman" w:eastAsia="Calibri" w:hAnsi="Times New Roman" w:cs="Times New Roman"/>
          <w:sz w:val="24"/>
          <w:szCs w:val="24"/>
        </w:rPr>
        <w:t>Glen Imes</w:t>
      </w:r>
      <w:r w:rsidRPr="00412BF0">
        <w:rPr>
          <w:rFonts w:ascii="Times New Roman" w:eastAsia="Calibri" w:hAnsi="Times New Roman" w:cs="Times New Roman"/>
          <w:sz w:val="24"/>
          <w:szCs w:val="24"/>
        </w:rPr>
        <w:t>, Legal Divi</w:t>
      </w:r>
      <w:r w:rsidRPr="00992DAF">
        <w:rPr>
          <w:rFonts w:ascii="Times New Roman" w:eastAsia="Calibri" w:hAnsi="Times New Roman" w:cs="Times New Roman"/>
          <w:sz w:val="24"/>
          <w:szCs w:val="24"/>
        </w:rPr>
        <w:t>sion</w:t>
      </w:r>
    </w:p>
    <w:p w14:paraId="4235E623" w14:textId="534EF711" w:rsidR="00AA5822" w:rsidRPr="00992DAF" w:rsidRDefault="00AA5822" w:rsidP="00AA1538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F</w:t>
      </w:r>
      <w:r w:rsidR="00BB1C9F">
        <w:rPr>
          <w:rFonts w:ascii="Times New Roman" w:eastAsia="Calibri" w:hAnsi="Times New Roman" w:cs="Times New Roman"/>
          <w:b/>
          <w:bCs/>
          <w:sz w:val="24"/>
          <w:szCs w:val="24"/>
        </w:rPr>
        <w:t>ROM</w:t>
      </w: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>Dylan Love</w:t>
      </w:r>
      <w:r w:rsidRPr="00992DAF">
        <w:rPr>
          <w:rFonts w:ascii="Times New Roman" w:eastAsia="Calibri" w:hAnsi="Times New Roman" w:cs="Times New Roman"/>
          <w:sz w:val="24"/>
          <w:szCs w:val="24"/>
        </w:rPr>
        <w:t>, Rate Regulation Division</w:t>
      </w:r>
    </w:p>
    <w:p w14:paraId="28CAA80E" w14:textId="2BA155BF" w:rsidR="00AA5822" w:rsidRPr="00BA51A1" w:rsidRDefault="00AA5822" w:rsidP="00AA1538">
      <w:pPr>
        <w:spacing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D</w:t>
      </w:r>
      <w:r w:rsidR="00BB1C9F">
        <w:rPr>
          <w:rFonts w:ascii="Times New Roman" w:eastAsia="Calibri" w:hAnsi="Times New Roman" w:cs="Times New Roman"/>
          <w:b/>
          <w:bCs/>
          <w:sz w:val="24"/>
          <w:szCs w:val="24"/>
        </w:rPr>
        <w:t>ATE</w:t>
      </w: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992DAF">
        <w:rPr>
          <w:rFonts w:ascii="Times New Roman" w:eastAsia="Calibri" w:hAnsi="Times New Roman" w:cs="Times New Roman"/>
          <w:sz w:val="24"/>
          <w:szCs w:val="24"/>
        </w:rPr>
        <w:tab/>
      </w:r>
      <w:r w:rsidR="001728AF">
        <w:rPr>
          <w:rFonts w:ascii="Times New Roman" w:eastAsia="Calibri" w:hAnsi="Times New Roman" w:cs="Times New Roman"/>
          <w:sz w:val="24"/>
          <w:szCs w:val="24"/>
        </w:rPr>
        <w:t>September</w:t>
      </w:r>
      <w:r w:rsidR="00C04E1E" w:rsidRPr="00BA51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28AF">
        <w:rPr>
          <w:rFonts w:ascii="Times New Roman" w:eastAsia="Calibri" w:hAnsi="Times New Roman" w:cs="Times New Roman"/>
          <w:sz w:val="24"/>
          <w:szCs w:val="24"/>
        </w:rPr>
        <w:t>16</w:t>
      </w:r>
      <w:r w:rsidRPr="00BA51A1">
        <w:rPr>
          <w:rFonts w:ascii="Times New Roman" w:eastAsia="Calibri" w:hAnsi="Times New Roman" w:cs="Times New Roman"/>
          <w:sz w:val="24"/>
          <w:szCs w:val="24"/>
        </w:rPr>
        <w:t>, 202</w:t>
      </w:r>
      <w:r w:rsidR="00BA51A1" w:rsidRPr="00BA51A1">
        <w:rPr>
          <w:rFonts w:ascii="Times New Roman" w:eastAsia="Calibri" w:hAnsi="Times New Roman" w:cs="Times New Roman"/>
          <w:sz w:val="24"/>
          <w:szCs w:val="24"/>
        </w:rPr>
        <w:t>4</w:t>
      </w:r>
    </w:p>
    <w:p w14:paraId="019DE4AD" w14:textId="3ED24BFB" w:rsidR="00AA5822" w:rsidRPr="00BA51A1" w:rsidRDefault="00AA5822" w:rsidP="00AA1538">
      <w:pPr>
        <w:spacing w:after="120" w:line="276" w:lineRule="auto"/>
        <w:ind w:left="1440" w:hanging="1440"/>
        <w:rPr>
          <w:rFonts w:ascii="Times New Roman" w:eastAsia="Calibri" w:hAnsi="Times New Roman" w:cs="Times New Roman"/>
          <w:i/>
          <w:sz w:val="24"/>
          <w:szCs w:val="24"/>
        </w:rPr>
      </w:pP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R</w:t>
      </w:r>
      <w:r w:rsidR="00BB1C9F">
        <w:rPr>
          <w:rFonts w:ascii="Times New Roman" w:eastAsia="Calibri" w:hAnsi="Times New Roman" w:cs="Times New Roman"/>
          <w:b/>
          <w:bCs/>
          <w:sz w:val="24"/>
          <w:szCs w:val="24"/>
        </w:rPr>
        <w:t>E</w:t>
      </w:r>
      <w:r w:rsidRPr="00BB1C9F">
        <w:rPr>
          <w:rFonts w:ascii="Times New Roman" w:eastAsia="Calibri" w:hAnsi="Times New Roman" w:cs="Times New Roman"/>
          <w:b/>
          <w:bCs/>
          <w:sz w:val="24"/>
          <w:szCs w:val="24"/>
        </w:rPr>
        <w:t>:</w:t>
      </w:r>
      <w:r w:rsidRPr="00992DAF">
        <w:rPr>
          <w:rFonts w:ascii="Times New Roman" w:eastAsia="Calibri" w:hAnsi="Times New Roman" w:cs="Times New Roman"/>
          <w:b/>
          <w:sz w:val="24"/>
          <w:szCs w:val="24"/>
        </w:rPr>
        <w:tab/>
      </w:r>
      <w:r w:rsidRPr="00BA51A1">
        <w:rPr>
          <w:rFonts w:ascii="Times New Roman" w:eastAsia="Calibri" w:hAnsi="Times New Roman" w:cs="Times New Roman"/>
          <w:b/>
          <w:sz w:val="24"/>
          <w:szCs w:val="24"/>
        </w:rPr>
        <w:t xml:space="preserve">Docket No. </w:t>
      </w:r>
      <w:r w:rsidR="00AA1538">
        <w:rPr>
          <w:rFonts w:ascii="Times New Roman" w:eastAsia="Calibri" w:hAnsi="Times New Roman" w:cs="Times New Roman"/>
          <w:b/>
          <w:sz w:val="24"/>
          <w:szCs w:val="24"/>
        </w:rPr>
        <w:t>56963</w:t>
      </w:r>
      <w:r w:rsidRPr="00BA51A1">
        <w:rPr>
          <w:rFonts w:ascii="Times New Roman" w:eastAsia="Calibri" w:hAnsi="Times New Roman" w:cs="Times New Roman"/>
          <w:b/>
          <w:sz w:val="24"/>
          <w:szCs w:val="24"/>
        </w:rPr>
        <w:t xml:space="preserve"> – </w:t>
      </w:r>
      <w:r w:rsidR="00BA51A1" w:rsidRPr="00BA51A1">
        <w:rPr>
          <w:rFonts w:ascii="Times New Roman" w:eastAsia="Calibri" w:hAnsi="Times New Roman" w:cs="Times New Roman"/>
          <w:i/>
          <w:sz w:val="24"/>
          <w:szCs w:val="24"/>
        </w:rPr>
        <w:t xml:space="preserve">Application of </w:t>
      </w:r>
      <w:r w:rsidR="00AA1538">
        <w:rPr>
          <w:rFonts w:ascii="Times New Roman" w:eastAsia="Calibri" w:hAnsi="Times New Roman" w:cs="Times New Roman"/>
          <w:i/>
          <w:sz w:val="24"/>
          <w:szCs w:val="24"/>
        </w:rPr>
        <w:t xml:space="preserve">Oncor Electric Delivery Company </w:t>
      </w:r>
      <w:r w:rsidR="00E50584" w:rsidRPr="00BA51A1">
        <w:rPr>
          <w:rFonts w:ascii="Times New Roman" w:eastAsia="Calibri" w:hAnsi="Times New Roman" w:cs="Times New Roman"/>
          <w:i/>
          <w:sz w:val="24"/>
          <w:szCs w:val="24"/>
        </w:rPr>
        <w:t>for</w:t>
      </w:r>
      <w:r w:rsidR="00AA1538">
        <w:rPr>
          <w:rFonts w:ascii="Times New Roman" w:eastAsia="Calibri" w:hAnsi="Times New Roman" w:cs="Times New Roman"/>
          <w:i/>
          <w:sz w:val="24"/>
          <w:szCs w:val="24"/>
        </w:rPr>
        <w:t xml:space="preserve"> Approval to Amend its</w:t>
      </w:r>
      <w:r w:rsidR="00BA51A1" w:rsidRPr="00BA51A1">
        <w:rPr>
          <w:rFonts w:ascii="Times New Roman" w:eastAsia="Calibri" w:hAnsi="Times New Roman" w:cs="Times New Roman"/>
          <w:i/>
          <w:sz w:val="24"/>
          <w:szCs w:val="24"/>
        </w:rPr>
        <w:t xml:space="preserve"> Distribution Cost Recovery Factor</w:t>
      </w:r>
    </w:p>
    <w:p w14:paraId="0234863A" w14:textId="215A6E2E" w:rsidR="001E3828" w:rsidRDefault="00AA5822" w:rsidP="00AA5822">
      <w:pPr>
        <w:rPr>
          <w:rFonts w:ascii="Times New Roman" w:eastAsia="Calibri" w:hAnsi="Times New Roman" w:cs="Times New Roman"/>
        </w:rPr>
      </w:pPr>
      <w:r w:rsidRPr="00992DAF">
        <w:rPr>
          <w:rFonts w:ascii="Times New Roman" w:eastAsia="Calibri" w:hAnsi="Times New Roman" w:cs="Times New Roman"/>
        </w:rPr>
        <w:t>_____________________________________________________________________________________</w:t>
      </w:r>
    </w:p>
    <w:p w14:paraId="572739A7" w14:textId="356EAE4B" w:rsidR="008E589D" w:rsidRPr="00BA51A1" w:rsidRDefault="00C81A86" w:rsidP="006B31DE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On </w:t>
      </w:r>
      <w:r w:rsidR="00AA1538">
        <w:rPr>
          <w:rFonts w:ascii="Times New Roman" w:eastAsia="Calibri" w:hAnsi="Times New Roman" w:cs="Times New Roman"/>
          <w:sz w:val="24"/>
          <w:szCs w:val="24"/>
        </w:rPr>
        <w:t>August 16</w:t>
      </w:r>
      <w:r w:rsidRPr="00BA51A1">
        <w:rPr>
          <w:rFonts w:ascii="Times New Roman" w:eastAsia="Calibri" w:hAnsi="Times New Roman" w:cs="Times New Roman"/>
          <w:sz w:val="24"/>
          <w:szCs w:val="24"/>
        </w:rPr>
        <w:t>, 202</w:t>
      </w:r>
      <w:r w:rsidR="00BA51A1" w:rsidRPr="00BA51A1">
        <w:rPr>
          <w:rFonts w:ascii="Times New Roman" w:eastAsia="Calibri" w:hAnsi="Times New Roman" w:cs="Times New Roman"/>
          <w:sz w:val="24"/>
          <w:szCs w:val="24"/>
        </w:rPr>
        <w:t>4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AA1538">
        <w:rPr>
          <w:rFonts w:ascii="Times New Roman" w:eastAsia="Calibri" w:hAnsi="Times New Roman" w:cs="Times New Roman"/>
          <w:sz w:val="24"/>
          <w:szCs w:val="24"/>
        </w:rPr>
        <w:t xml:space="preserve">Oncor Electric Company LLC </w:t>
      </w:r>
      <w:r w:rsidR="00BA51A1" w:rsidRPr="00BA51A1">
        <w:rPr>
          <w:rFonts w:ascii="Times New Roman" w:eastAsia="Calibri" w:hAnsi="Times New Roman" w:cs="Times New Roman"/>
          <w:sz w:val="24"/>
          <w:szCs w:val="24"/>
        </w:rPr>
        <w:t>(</w:t>
      </w:r>
      <w:r w:rsidR="00AA1538">
        <w:rPr>
          <w:rFonts w:ascii="Times New Roman" w:eastAsia="Calibri" w:hAnsi="Times New Roman" w:cs="Times New Roman"/>
          <w:sz w:val="24"/>
          <w:szCs w:val="24"/>
        </w:rPr>
        <w:t>Oncor</w:t>
      </w:r>
      <w:r w:rsidR="00BA51A1" w:rsidRPr="00BA51A1">
        <w:rPr>
          <w:rFonts w:ascii="Times New Roman" w:eastAsia="Calibri" w:hAnsi="Times New Roman" w:cs="Times New Roman"/>
          <w:sz w:val="24"/>
          <w:szCs w:val="24"/>
        </w:rPr>
        <w:t>)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 filed a</w:t>
      </w:r>
      <w:r w:rsidR="00E377AD" w:rsidRPr="00BA51A1">
        <w:rPr>
          <w:rFonts w:ascii="Times New Roman" w:eastAsia="Calibri" w:hAnsi="Times New Roman" w:cs="Times New Roman"/>
          <w:sz w:val="24"/>
          <w:szCs w:val="24"/>
        </w:rPr>
        <w:t xml:space="preserve">n application 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to </w:t>
      </w:r>
      <w:r w:rsidR="00E377AD" w:rsidRPr="00BA51A1">
        <w:rPr>
          <w:rFonts w:ascii="Times New Roman" w:eastAsia="Calibri" w:hAnsi="Times New Roman" w:cs="Times New Roman"/>
          <w:sz w:val="24"/>
          <w:szCs w:val="24"/>
        </w:rPr>
        <w:t>amend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 its </w:t>
      </w:r>
      <w:r w:rsidR="00E377AD" w:rsidRPr="00BA51A1">
        <w:rPr>
          <w:rFonts w:ascii="Times New Roman" w:eastAsia="Calibri" w:hAnsi="Times New Roman" w:cs="Times New Roman"/>
          <w:sz w:val="24"/>
          <w:szCs w:val="24"/>
        </w:rPr>
        <w:t>Distribution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 Cost Recovery Factor (</w:t>
      </w:r>
      <w:r w:rsidR="00E377AD" w:rsidRPr="00BA51A1">
        <w:rPr>
          <w:rFonts w:ascii="Times New Roman" w:eastAsia="Calibri" w:hAnsi="Times New Roman" w:cs="Times New Roman"/>
          <w:sz w:val="24"/>
          <w:szCs w:val="24"/>
        </w:rPr>
        <w:t>D</w:t>
      </w:r>
      <w:r w:rsidRPr="00BA51A1">
        <w:rPr>
          <w:rFonts w:ascii="Times New Roman" w:eastAsia="Calibri" w:hAnsi="Times New Roman" w:cs="Times New Roman"/>
          <w:sz w:val="24"/>
          <w:szCs w:val="24"/>
        </w:rPr>
        <w:t>CRF)</w:t>
      </w:r>
      <w:r w:rsidR="00E377AD" w:rsidRPr="00BA51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253ED" w:rsidRPr="00BA51A1">
        <w:rPr>
          <w:rFonts w:ascii="Times New Roman" w:eastAsia="Calibri" w:hAnsi="Times New Roman" w:cs="Times New Roman"/>
          <w:sz w:val="24"/>
          <w:szCs w:val="24"/>
        </w:rPr>
        <w:t>p</w:t>
      </w:r>
      <w:r w:rsidR="00E377AD" w:rsidRPr="00BA51A1">
        <w:rPr>
          <w:rFonts w:ascii="Times New Roman" w:eastAsia="Calibri" w:hAnsi="Times New Roman" w:cs="Times New Roman"/>
          <w:sz w:val="24"/>
          <w:szCs w:val="24"/>
        </w:rPr>
        <w:t>ursuant to the Public Utility Regulatory Act</w:t>
      </w:r>
      <w:r w:rsidR="00F253ED" w:rsidRPr="00BA51A1">
        <w:rPr>
          <w:rFonts w:ascii="Times New Roman" w:eastAsia="Calibri" w:hAnsi="Times New Roman" w:cs="Times New Roman"/>
          <w:sz w:val="24"/>
          <w:szCs w:val="24"/>
        </w:rPr>
        <w:t xml:space="preserve"> (PURA)</w:t>
      </w:r>
      <w:r w:rsidR="00E377AD" w:rsidRPr="00BA51A1">
        <w:rPr>
          <w:rFonts w:ascii="Times New Roman" w:eastAsia="Calibri" w:hAnsi="Times New Roman" w:cs="Times New Roman"/>
          <w:sz w:val="24"/>
          <w:szCs w:val="24"/>
        </w:rPr>
        <w:t>, Texas Utility Code Ann. § 36.210 and 16 Texas Administrative Code (TAC) § 25.243. PURA § 36.210(i) requires the Commission to enter a final order for a DCRF update within 60 days after the application is filed (with a possible extension of no more than 15 days for good cause).</w:t>
      </w:r>
    </w:p>
    <w:p w14:paraId="42B6DB6B" w14:textId="09328FB4" w:rsidR="00E377AD" w:rsidRPr="00BA51A1" w:rsidRDefault="00E377AD" w:rsidP="006B31DE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This memorandum presents Staff’s recommendation regarding cost allocation and rate design in </w:t>
      </w:r>
      <w:r w:rsidR="00AA1538">
        <w:rPr>
          <w:rFonts w:ascii="Times New Roman" w:eastAsia="Calibri" w:hAnsi="Times New Roman" w:cs="Times New Roman"/>
          <w:sz w:val="24"/>
          <w:szCs w:val="24"/>
        </w:rPr>
        <w:t>Oncor’s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 application. PURA § 36.210(f)(6)(A) and (B) allow for the Commission to review costs recovered through a DCRF in the utility’s next comprehensive base-rate proceeding and allow the Commission to refund to customers any amounts, including carrying costs, deemed to have been recovered improperly through the DCRF. 16 </w:t>
      </w:r>
      <w:r w:rsidR="00F253ED" w:rsidRPr="00BA51A1">
        <w:rPr>
          <w:rFonts w:ascii="Times New Roman" w:eastAsia="Calibri" w:hAnsi="Times New Roman" w:cs="Times New Roman"/>
          <w:sz w:val="24"/>
          <w:szCs w:val="24"/>
        </w:rPr>
        <w:t>TAC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 § 25.243(f) similarly provides that the Commission shall reconcile investments recovered through a DCRF proceeding</w:t>
      </w:r>
      <w:r w:rsidR="00F253ED" w:rsidRPr="00BA51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at the utility’s next base-rate proceeding. Given the provisions of PURA § 36.210(f)(6)(A) and (B) </w:t>
      </w:r>
      <w:r w:rsidR="00F253ED" w:rsidRPr="00BA51A1">
        <w:rPr>
          <w:rFonts w:ascii="Times New Roman" w:eastAsia="Calibri" w:hAnsi="Times New Roman" w:cs="Times New Roman"/>
          <w:sz w:val="24"/>
          <w:szCs w:val="24"/>
        </w:rPr>
        <w:t xml:space="preserve">and 16 TAC § 25.243(f), my review of </w:t>
      </w:r>
      <w:r w:rsidR="00AA1538">
        <w:rPr>
          <w:rFonts w:ascii="Times New Roman" w:eastAsia="Calibri" w:hAnsi="Times New Roman" w:cs="Times New Roman"/>
          <w:sz w:val="24"/>
          <w:szCs w:val="24"/>
        </w:rPr>
        <w:t>Oncor’s</w:t>
      </w:r>
      <w:r w:rsidR="00F253ED" w:rsidRPr="00BA51A1">
        <w:rPr>
          <w:rFonts w:ascii="Times New Roman" w:eastAsia="Calibri" w:hAnsi="Times New Roman" w:cs="Times New Roman"/>
          <w:sz w:val="24"/>
          <w:szCs w:val="24"/>
        </w:rPr>
        <w:t xml:space="preserve"> application is only conditional, and not the final determination as to the appropriateness of</w:t>
      </w:r>
      <w:r w:rsidR="00AA1538">
        <w:rPr>
          <w:rFonts w:ascii="Times New Roman" w:eastAsia="Calibri" w:hAnsi="Times New Roman" w:cs="Times New Roman"/>
          <w:sz w:val="24"/>
          <w:szCs w:val="24"/>
        </w:rPr>
        <w:t xml:space="preserve"> Oncor</w:t>
      </w:r>
      <w:r w:rsidR="00F253ED" w:rsidRPr="00BA51A1">
        <w:rPr>
          <w:rFonts w:ascii="Times New Roman" w:eastAsia="Calibri" w:hAnsi="Times New Roman" w:cs="Times New Roman"/>
          <w:sz w:val="24"/>
          <w:szCs w:val="24"/>
        </w:rPr>
        <w:t>’s DCRF request.</w:t>
      </w:r>
    </w:p>
    <w:p w14:paraId="1A5C0280" w14:textId="5DE09A89" w:rsidR="00C81A86" w:rsidRPr="00AA1538" w:rsidRDefault="00F253ED" w:rsidP="006B31DE">
      <w:pPr>
        <w:spacing w:after="12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A51A1">
        <w:rPr>
          <w:rFonts w:ascii="Times New Roman" w:eastAsia="Calibri" w:hAnsi="Times New Roman" w:cs="Times New Roman"/>
          <w:sz w:val="24"/>
          <w:szCs w:val="24"/>
        </w:rPr>
        <w:t xml:space="preserve">Based on my review of </w:t>
      </w:r>
      <w:r w:rsidR="00AA1538">
        <w:rPr>
          <w:rFonts w:ascii="Times New Roman" w:eastAsia="Calibri" w:hAnsi="Times New Roman" w:cs="Times New Roman"/>
          <w:sz w:val="24"/>
          <w:szCs w:val="24"/>
        </w:rPr>
        <w:t>Oncor</w:t>
      </w:r>
      <w:r w:rsidR="00C04E1E" w:rsidRPr="00BA51A1">
        <w:rPr>
          <w:rFonts w:ascii="Times New Roman" w:eastAsia="Calibri" w:hAnsi="Times New Roman" w:cs="Times New Roman"/>
          <w:sz w:val="24"/>
          <w:szCs w:val="24"/>
        </w:rPr>
        <w:t>’s</w:t>
      </w:r>
      <w:r w:rsidR="00F44F0A" w:rsidRPr="00BA51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7379A" w:rsidRPr="00BA51A1">
        <w:rPr>
          <w:rFonts w:ascii="Times New Roman" w:eastAsia="Calibri" w:hAnsi="Times New Roman" w:cs="Times New Roman"/>
          <w:sz w:val="24"/>
          <w:szCs w:val="24"/>
        </w:rPr>
        <w:t>a</w:t>
      </w:r>
      <w:r w:rsidRPr="00BA51A1">
        <w:rPr>
          <w:rFonts w:ascii="Times New Roman" w:eastAsia="Calibri" w:hAnsi="Times New Roman" w:cs="Times New Roman"/>
          <w:sz w:val="24"/>
          <w:szCs w:val="24"/>
        </w:rPr>
        <w:t>pplication</w:t>
      </w:r>
      <w:r w:rsidR="0037379A" w:rsidRPr="00BA51A1">
        <w:rPr>
          <w:rFonts w:ascii="Times New Roman" w:eastAsia="Calibri" w:hAnsi="Times New Roman" w:cs="Times New Roman"/>
          <w:sz w:val="24"/>
          <w:szCs w:val="24"/>
        </w:rPr>
        <w:t xml:space="preserve"> and the applicable statues and rules, I recommend that the Commission approve </w:t>
      </w:r>
      <w:r w:rsidR="00AA1538">
        <w:rPr>
          <w:rFonts w:ascii="Times New Roman" w:eastAsia="Calibri" w:hAnsi="Times New Roman" w:cs="Times New Roman"/>
          <w:sz w:val="24"/>
          <w:szCs w:val="24"/>
        </w:rPr>
        <w:t>Oncor</w:t>
      </w:r>
      <w:r w:rsidR="0037379A" w:rsidRPr="00BA51A1">
        <w:rPr>
          <w:rFonts w:ascii="Times New Roman" w:eastAsia="Calibri" w:hAnsi="Times New Roman" w:cs="Times New Roman"/>
          <w:sz w:val="24"/>
          <w:szCs w:val="24"/>
        </w:rPr>
        <w:t xml:space="preserve">’s request to amend its DCRF, subject to reconciliation in </w:t>
      </w:r>
      <w:r w:rsidR="00AA1538">
        <w:rPr>
          <w:rFonts w:ascii="Times New Roman" w:eastAsia="Calibri" w:hAnsi="Times New Roman" w:cs="Times New Roman"/>
          <w:sz w:val="24"/>
          <w:szCs w:val="24"/>
        </w:rPr>
        <w:t>Oncor</w:t>
      </w:r>
      <w:r w:rsidR="0037379A" w:rsidRPr="00BA51A1">
        <w:rPr>
          <w:rFonts w:ascii="Times New Roman" w:eastAsia="Calibri" w:hAnsi="Times New Roman" w:cs="Times New Roman"/>
          <w:sz w:val="24"/>
          <w:szCs w:val="24"/>
        </w:rPr>
        <w:t xml:space="preserve">’s next base-rate proceeding. I also recommend that </w:t>
      </w:r>
      <w:r w:rsidR="00AA1538">
        <w:rPr>
          <w:rFonts w:ascii="Times New Roman" w:eastAsia="Calibri" w:hAnsi="Times New Roman" w:cs="Times New Roman"/>
          <w:sz w:val="24"/>
          <w:szCs w:val="24"/>
        </w:rPr>
        <w:t>Oncor</w:t>
      </w:r>
      <w:r w:rsidR="0037379A" w:rsidRPr="00BA51A1">
        <w:rPr>
          <w:rFonts w:ascii="Times New Roman" w:eastAsia="Calibri" w:hAnsi="Times New Roman" w:cs="Times New Roman"/>
          <w:sz w:val="24"/>
          <w:szCs w:val="24"/>
        </w:rPr>
        <w:t xml:space="preserve"> be required to file a “clean” copy of its DCRF tariffs, consistent with the </w:t>
      </w:r>
      <w:r w:rsidR="004E0539" w:rsidRPr="00BA51A1">
        <w:rPr>
          <w:rFonts w:ascii="Times New Roman" w:eastAsia="Calibri" w:hAnsi="Times New Roman" w:cs="Times New Roman"/>
          <w:sz w:val="24"/>
          <w:szCs w:val="24"/>
        </w:rPr>
        <w:t>Commission’s</w:t>
      </w:r>
      <w:r w:rsidR="0037379A" w:rsidRPr="00BA51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0539" w:rsidRPr="00BA51A1">
        <w:rPr>
          <w:rFonts w:ascii="Times New Roman" w:eastAsia="Calibri" w:hAnsi="Times New Roman" w:cs="Times New Roman"/>
          <w:sz w:val="24"/>
          <w:szCs w:val="24"/>
        </w:rPr>
        <w:t>final order in this docket, to be stamped “Approved” by the Commissions Central Records Division and retained for future reference.</w:t>
      </w:r>
    </w:p>
    <w:sectPr w:rsidR="00C81A86" w:rsidRPr="00AA1538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19124D" w14:textId="77777777" w:rsidR="00AA5822" w:rsidRDefault="00AA5822" w:rsidP="00AA5822">
      <w:pPr>
        <w:spacing w:after="0" w:line="240" w:lineRule="auto"/>
      </w:pPr>
      <w:r>
        <w:separator/>
      </w:r>
    </w:p>
  </w:endnote>
  <w:endnote w:type="continuationSeparator" w:id="0">
    <w:p w14:paraId="2B14160C" w14:textId="77777777" w:rsidR="00AA5822" w:rsidRDefault="00AA5822" w:rsidP="00AA58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033301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14:paraId="28B7046F" w14:textId="65DA584F" w:rsidR="0087058C" w:rsidRPr="0087058C" w:rsidRDefault="0087058C">
        <w:pPr>
          <w:pStyle w:val="Foot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7058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7058C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7058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705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7058C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5DDDC56E" w14:textId="77777777" w:rsidR="0087058C" w:rsidRDefault="008705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9926A1" w14:textId="77777777" w:rsidR="00AA5822" w:rsidRDefault="00AA5822" w:rsidP="00AA5822">
      <w:pPr>
        <w:spacing w:after="0" w:line="240" w:lineRule="auto"/>
      </w:pPr>
      <w:r>
        <w:separator/>
      </w:r>
    </w:p>
  </w:footnote>
  <w:footnote w:type="continuationSeparator" w:id="0">
    <w:p w14:paraId="397E7AF5" w14:textId="77777777" w:rsidR="00AA5822" w:rsidRDefault="00AA5822" w:rsidP="00AA58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928D53" w14:textId="77777777" w:rsidR="00AA5822" w:rsidRPr="0000524C" w:rsidRDefault="00AA5822" w:rsidP="00AA582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3344701C" w14:textId="77777777" w:rsidR="00AA5822" w:rsidRPr="0000524C" w:rsidRDefault="00AA5822" w:rsidP="00AA5822">
    <w:pPr>
      <w:tabs>
        <w:tab w:val="left" w:pos="2160"/>
        <w:tab w:val="left" w:pos="7290"/>
        <w:tab w:val="right" w:pos="8640"/>
      </w:tabs>
      <w:overflowPunct w:val="0"/>
      <w:autoSpaceDE w:val="0"/>
      <w:autoSpaceDN w:val="0"/>
      <w:adjustRightInd w:val="0"/>
      <w:spacing w:before="120" w:after="120" w:line="240" w:lineRule="auto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 w:rsidRPr="0000524C">
      <w:rPr>
        <w:rFonts w:ascii="Times New Roman" w:eastAsia="Times New Roman" w:hAnsi="Times New Roman" w:cs="Times New Roman"/>
        <w:b/>
        <w:sz w:val="12"/>
        <w:szCs w:val="20"/>
      </w:rPr>
      <w:tab/>
    </w:r>
    <w:r w:rsidRPr="0000524C">
      <w:rPr>
        <w:rFonts w:ascii="Times New Roman" w:eastAsia="Times New Roman" w:hAnsi="Times New Roman" w:cs="Times New Roman"/>
        <w:b/>
        <w:sz w:val="12"/>
        <w:szCs w:val="20"/>
        <w:u w:val="single"/>
      </w:rPr>
      <w:tab/>
    </w:r>
  </w:p>
  <w:p w14:paraId="638DBC89" w14:textId="77777777" w:rsidR="00AA5822" w:rsidRDefault="00AA5822" w:rsidP="00AA5822">
    <w:pPr>
      <w:pStyle w:val="Header"/>
      <w:jc w:val="center"/>
      <w:rPr>
        <w:rFonts w:ascii="Times New Roman" w:eastAsia="Times New Roman" w:hAnsi="Times New Roman" w:cs="Times New Roman"/>
        <w:b/>
        <w:sz w:val="38"/>
        <w:szCs w:val="20"/>
      </w:rPr>
    </w:pPr>
    <w:r w:rsidRPr="0000524C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52294BC4" w14:textId="77777777" w:rsidR="00AA5822" w:rsidRDefault="00AA582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822"/>
    <w:rsid w:val="000732C1"/>
    <w:rsid w:val="001728AF"/>
    <w:rsid w:val="001E3828"/>
    <w:rsid w:val="002052B8"/>
    <w:rsid w:val="0037379A"/>
    <w:rsid w:val="00412BF0"/>
    <w:rsid w:val="004478F7"/>
    <w:rsid w:val="004E0539"/>
    <w:rsid w:val="00586836"/>
    <w:rsid w:val="0068378A"/>
    <w:rsid w:val="006B31DE"/>
    <w:rsid w:val="006C40D6"/>
    <w:rsid w:val="00761B28"/>
    <w:rsid w:val="00863363"/>
    <w:rsid w:val="0087058C"/>
    <w:rsid w:val="008B6FA3"/>
    <w:rsid w:val="008E589D"/>
    <w:rsid w:val="00955942"/>
    <w:rsid w:val="00A3521E"/>
    <w:rsid w:val="00A73846"/>
    <w:rsid w:val="00AA1538"/>
    <w:rsid w:val="00AA5822"/>
    <w:rsid w:val="00B25950"/>
    <w:rsid w:val="00BA51A1"/>
    <w:rsid w:val="00BB1C9F"/>
    <w:rsid w:val="00C04E1E"/>
    <w:rsid w:val="00C81A86"/>
    <w:rsid w:val="00C976D5"/>
    <w:rsid w:val="00CD785E"/>
    <w:rsid w:val="00D4554A"/>
    <w:rsid w:val="00DA5724"/>
    <w:rsid w:val="00E377AD"/>
    <w:rsid w:val="00E50584"/>
    <w:rsid w:val="00F253ED"/>
    <w:rsid w:val="00F44F0A"/>
    <w:rsid w:val="00F51528"/>
    <w:rsid w:val="00F5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A01B"/>
  <w15:chartTrackingRefBased/>
  <w15:docId w15:val="{C44444AC-178A-4C83-B9CE-F24F77CCDA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822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5822"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AA5822"/>
  </w:style>
  <w:style w:type="paragraph" w:styleId="Footer">
    <w:name w:val="footer"/>
    <w:basedOn w:val="Normal"/>
    <w:link w:val="FooterChar"/>
    <w:uiPriority w:val="99"/>
    <w:unhideWhenUsed/>
    <w:rsid w:val="00AA5822"/>
    <w:pPr>
      <w:tabs>
        <w:tab w:val="center" w:pos="4680"/>
        <w:tab w:val="right" w:pos="9360"/>
      </w:tabs>
      <w:spacing w:after="0" w:line="240" w:lineRule="auto"/>
    </w:pPr>
    <w:rPr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AA5822"/>
  </w:style>
  <w:style w:type="character" w:styleId="CommentReference">
    <w:name w:val="annotation reference"/>
    <w:basedOn w:val="DefaultParagraphFont"/>
    <w:uiPriority w:val="99"/>
    <w:semiHidden/>
    <w:unhideWhenUsed/>
    <w:rsid w:val="00F253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3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53ED"/>
    <w:rPr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3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3ED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304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Dylan Love</dc:creator>
  <cp:keywords/>
  <dc:description/>
  <cp:lastModifiedBy>Isabel Herrera</cp:lastModifiedBy>
  <cp:revision>3</cp:revision>
  <dcterms:created xsi:type="dcterms:W3CDTF">2024-09-11T12:58:00Z</dcterms:created>
  <dcterms:modified xsi:type="dcterms:W3CDTF">2024-09-16T15:12:00Z</dcterms:modified>
</cp:coreProperties>
</file>